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525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2"/>
                <w:szCs w:val="32"/>
              </w:rPr>
              <w:t>国家税务总局关于杏仁油 葡萄籽油增值税适用税率问题的公告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国家税务总局公告2014年第22号</w:t>
            </w:r>
          </w:p>
          <w:p>
            <w:pPr>
              <w:widowControl/>
              <w:spacing w:after="150"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全文有效   成文日期：2014-04-11</w:t>
            </w:r>
            <w:bookmarkStart w:id="0" w:name="_GoBack"/>
            <w:bookmarkEnd w:id="0"/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现将杏仁油、葡萄籽油的增值税适用税率公告如下：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杏仁油、葡萄籽油属于食用植物油，适用13%增值税税率。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本公告自2014年6月1日起执行。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</w:t>
            </w:r>
          </w:p>
          <w:p>
            <w:pPr>
              <w:widowControl/>
              <w:spacing w:before="100" w:beforeAutospacing="1" w:after="100" w:afterAutospacing="1" w:line="450" w:lineRule="atLeast"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国家税务总局</w:t>
            </w:r>
          </w:p>
          <w:p>
            <w:pPr>
              <w:widowControl/>
              <w:spacing w:before="100" w:beforeAutospacing="1" w:after="100" w:afterAutospacing="1" w:line="450" w:lineRule="atLeast"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2014年4月11日</w:t>
            </w:r>
          </w:p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链接：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instrText xml:space="preserve">HYPERLINK "http://www.chinatax.gov.cn/n2226/n2271/n2273/c695964/content.html" </w:instrTex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</w:rPr>
              <w:t>相关政策解读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vanish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vanish/>
                <w:color w:val="000000"/>
                <w:kern w:val="0"/>
                <w:sz w:val="24"/>
                <w:szCs w:val="24"/>
              </w:rPr>
              <w:t xml:space="preserve">发布日期：2014年04月18日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3A94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3A94"/>
                <w:kern w:val="0"/>
                <w:sz w:val="32"/>
                <w:szCs w:val="32"/>
              </w:rPr>
              <w:t xml:space="preserve">关于《国家税务总局关于杏仁油 葡萄籽油增值税适用税率问题的公告》的解读 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</w:rPr>
              <w:t xml:space="preserve">发布日期：2014年04月18日                  来源：国家税务总局办公厅 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tbl>
      <w:tblPr>
        <w:tblStyle w:val="3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一、公告出台的背景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增值税暂行条例规定，食用植物油适用13%增值税税率。《增值税部分货物征税范围注释》（国税发[1993]151号）明确，植物油是从植物根、茎、叶、果实、花或胚芽组织中加工提取的油脂。食用植物油仅指：芝麻油、花生油、豆油、菜籽油、米糠油、葵花籽油、棉籽油、玉米胚油、茶油、胡麻油，以及以上述油为原料生产的混合油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现行政策对食用植物油进行正列举，杏仁油和葡萄籽油不在列举范围内。随着社会进步，科技水平提高，已可以从苦杏仁、葡萄籽中提取油脂并大规模投入生产。因而部分地区税务机关报来请示，请求明确杏仁油 葡萄籽油属于食用植物油，适用13%增值税税率。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二、公告的主要内容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　据了解，杏仁油和葡萄籽油主要用途为食用。杏仁油的主要成分是油酸和亚油酸，葡萄籽油的主要成分是亚油酸和原花青素，杏仁油和葡萄籽油均具有较高的营养价值，有助于促进我国居民饮食结构调整。因此，公告明确，杏仁油、葡萄籽油属于食用植物油，适用13%增值税税率。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239BA"/>
    <w:rsid w:val="008239BA"/>
    <w:rsid w:val="00B06FD7"/>
    <w:rsid w:val="35C32D6D"/>
    <w:rsid w:val="3F2D61C9"/>
    <w:rsid w:val="53EA743E"/>
    <w:rsid w:val="7CD9278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1114</Characters>
  <Lines>9</Lines>
  <Paragraphs>2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2014-08-28T10:15:00Z</dcterms:created>
  <dc:creator>xupx</dc:creator>
  <cp:lastModifiedBy>Administrator</cp:lastModifiedBy>
  <dcterms:modified xsi:type="dcterms:W3CDTF">2015-04-15T01:28:42Z</dcterms:modified>
  <dc:title>国家税务总局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